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927860" cy="1927860"/>
            <wp:effectExtent l="0" t="0" r="15240" b="15240"/>
            <wp:docPr id="1" name="图片 1" descr="4-1 BA-0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-1 BA-05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1F568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rFonts w:hint="default"/>
          <w:b/>
        </w:rPr>
        <w:t>Bulging or herniated disc</w:t>
      </w:r>
    </w:p>
    <w:p w14:paraId="79BF0FAF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Decompressive procedures</w:t>
      </w:r>
    </w:p>
    <w:p w14:paraId="5C675BB5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Deconditioned trunk musculature</w:t>
      </w:r>
    </w:p>
    <w:p w14:paraId="7C6F45FA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Degenerative disc disease</w:t>
      </w:r>
      <w:bookmarkStart w:id="0" w:name="_GoBack"/>
      <w:bookmarkEnd w:id="0"/>
    </w:p>
    <w:p w14:paraId="009BA1B0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Facet syndrome</w:t>
      </w:r>
    </w:p>
    <w:p w14:paraId="0AC4C936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IDET procedure</w:t>
      </w:r>
    </w:p>
    <w:p w14:paraId="20B1663D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Injections</w:t>
      </w:r>
    </w:p>
    <w:p w14:paraId="3FE82E31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Post laminectomy syndrome</w:t>
      </w:r>
    </w:p>
    <w:p w14:paraId="095C93B1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Post-operative support</w:t>
      </w:r>
    </w:p>
    <w:p w14:paraId="7103E231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Sacroiliitis</w:t>
      </w:r>
    </w:p>
    <w:p w14:paraId="34B95071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Severe DJD</w:t>
      </w:r>
    </w:p>
    <w:p w14:paraId="1F9A06D1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SI dysfunction</w:t>
      </w:r>
    </w:p>
    <w:p w14:paraId="1D40B362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Spinal stenosis</w:t>
      </w:r>
    </w:p>
    <w:p w14:paraId="7CCFF00F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Spondylolisthesis</w:t>
      </w:r>
    </w:p>
    <w:p w14:paraId="5C1B3529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Spondylosis</w:t>
      </w:r>
    </w:p>
    <w:p w14:paraId="59ABB0AF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Sprain/strain</w:t>
      </w:r>
    </w:p>
    <w:p w14:paraId="382EF79E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Radiculopathy</w:t>
      </w:r>
    </w:p>
    <w:p w14:paraId="2D4F8372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3373831"/>
    <w:rsid w:val="087C6FEA"/>
    <w:rsid w:val="0A8A0AE0"/>
    <w:rsid w:val="1CD7548D"/>
    <w:rsid w:val="25DF44FF"/>
    <w:rsid w:val="2E0F6740"/>
    <w:rsid w:val="2FB81587"/>
    <w:rsid w:val="30F007BD"/>
    <w:rsid w:val="493202B5"/>
    <w:rsid w:val="78441036"/>
    <w:rsid w:val="7C9D32D9"/>
    <w:rsid w:val="7F9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928</Characters>
  <Lines>0</Lines>
  <Paragraphs>0</Paragraphs>
  <TotalTime>0</TotalTime>
  <ScaleCrop>false</ScaleCrop>
  <LinksUpToDate>false</LinksUpToDate>
  <CharactersWithSpaces>1104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2024-09-30T08:47:42Z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